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1814"/>
        <w:gridCol w:w="7710"/>
      </w:tblGrid>
      <w:tr>
        <w:tc>
          <w:tcPr>
            <w:tcW w:type="dxa" w:w="1814"/>
            <w:tcMar>
              <w:top w:w="0" w:type="dxa"/>
              <w:bottom w:w="0" w:type="dxa"/>
              <w:left w:w="0" w:type="dxa"/>
              <w:right w:w="0" w:type="dxa"/>
            </w:tcMar>
          </w:tcPr>
          <w:p>
            <w:pPr>
              <w:spacing w:before="0" w:after="0"/>
            </w:pPr>
            <w:r>
              <w:drawing>
                <wp:inline xmlns:a="http://schemas.openxmlformats.org/drawingml/2006/main" xmlns:pic="http://schemas.openxmlformats.org/drawingml/2006/picture">
                  <wp:extent cx="1080000" cy="1080000"/>
                  <wp:docPr id="1" name="Picture 1"/>
                  <wp:cNvGraphicFramePr>
                    <a:graphicFrameLocks noChangeAspect="1"/>
                  </wp:cNvGraphicFramePr>
                  <a:graphic>
                    <a:graphicData uri="http://schemas.openxmlformats.org/drawingml/2006/picture">
                      <pic:pic>
                        <pic:nvPicPr>
                          <pic:cNvPr id="0" name="lockup-kanselarij.png"/>
                          <pic:cNvPicPr/>
                        </pic:nvPicPr>
                        <pic:blipFill>
                          <a:blip r:embed="rId9"/>
                          <a:stretch>
                            <a:fillRect/>
                          </a:stretch>
                        </pic:blipFill>
                        <pic:spPr>
                          <a:xfrm>
                            <a:off x="0" y="0"/>
                            <a:ext cx="1080000" cy="1080000"/>
                          </a:xfrm>
                          <a:prstGeom prst="rect"/>
                        </pic:spPr>
                      </pic:pic>
                    </a:graphicData>
                  </a:graphic>
                </wp:inline>
              </w:drawing>
            </w:r>
          </w:p>
        </w:tc>
        <w:tc>
          <w:tcPr>
            <w:tcW w:type="dxa" w:w="7710"/>
            <w:tcMar>
              <w:top w:w="0" w:type="dxa"/>
              <w:bottom w:w="0" w:type="dxa"/>
              <w:left w:w="0" w:type="dxa"/>
              <w:right w:w="0" w:type="dxa"/>
            </w:tcMar>
            <w:vAlign w:val="center"/>
          </w:tcPr>
          <w:p>
            <w:pPr>
              <w:spacing w:before="0" w:after="40"/>
            </w:pPr>
            <w:r>
              <w:rPr>
                <w:rFonts w:ascii="Inter" w:hAnsi="Inter" w:cs="Inter" w:eastAsia="Inter"/>
                <w:b/>
                <w:color w:val="575752"/>
                <w:sz w:val="18"/>
              </w:rPr>
              <w:t>FEDERALE OVERHEID  ·  GOUVERNEMENT FÉDÉRAL</w:t>
            </w:r>
          </w:p>
          <w:p>
            <w:pPr>
              <w:spacing w:before="0" w:after="0"/>
            </w:pPr>
            <w:r>
              <w:rPr>
                <w:rFonts w:ascii="Inter" w:hAnsi="Inter" w:cs="Inter" w:eastAsia="Inter"/>
                <w:b/>
                <w:color w:val="052B5E"/>
                <w:sz w:val="36"/>
              </w:rPr>
              <w:t>FOD Kanselarij van de Eerste Minister</w:t>
            </w:r>
          </w:p>
        </w:tc>
      </w:tr>
    </w:tbl>
    <w:tbl>
      <w:tblPr>
        <w:tblW w:type="auto" w:w="0"/>
        <w:tblLayout w:type="fixed"/>
        <w:tblLook w:firstColumn="1" w:firstRow="1" w:lastColumn="0" w:lastRow="0" w:noHBand="0" w:noVBand="1" w:val="04A0"/>
      </w:tblPr>
      <w:tblGrid>
        <w:gridCol w:w="3324"/>
        <w:gridCol w:w="3324"/>
        <w:gridCol w:w="3324"/>
      </w:tblGrid>
      <w:tr>
        <w:trPr>
          <w:trHeight w:val="102"/>
        </w:trPr>
        <w:tc>
          <w:tcPr>
            <w:tcW w:type="dxa" w:w="3175"/>
            <w:shd w:val="clear" w:color="auto" w:fill="FCD117"/>
            <w:tcMar>
              <w:top w:w="0" w:type="dxa"/>
              <w:bottom w:w="0" w:type="dxa"/>
            </w:tcMar>
          </w:tcPr>
          <w:p>
            <w:pPr>
              <w:spacing w:before="0" w:after="0"/>
            </w:pPr>
            <w:r>
              <w:rPr>
                <w:sz w:val="4"/>
              </w:rPr>
            </w:r>
          </w:p>
        </w:tc>
        <w:tc>
          <w:tcPr>
            <w:tcW w:type="dxa" w:w="3175"/>
            <w:shd w:val="clear" w:color="auto" w:fill="C70F2E"/>
            <w:tcMar>
              <w:top w:w="0" w:type="dxa"/>
              <w:bottom w:w="0" w:type="dxa"/>
            </w:tcMar>
          </w:tcPr>
          <w:p>
            <w:pPr>
              <w:spacing w:before="0" w:after="0"/>
            </w:pPr>
            <w:r>
              <w:rPr>
                <w:sz w:val="4"/>
              </w:rPr>
            </w:r>
          </w:p>
        </w:tc>
        <w:tc>
          <w:tcPr>
            <w:tcW w:type="dxa" w:w="3175"/>
            <w:shd w:val="clear" w:color="auto" w:fill="1A1A1A"/>
            <w:tcMar>
              <w:top w:w="0" w:type="dxa"/>
              <w:bottom w:w="0" w:type="dxa"/>
            </w:tcMar>
          </w:tcPr>
          <w:p>
            <w:pPr>
              <w:spacing w:before="0" w:after="0"/>
            </w:pPr>
            <w:r>
              <w:rPr>
                <w:sz w:val="4"/>
              </w:rPr>
            </w:r>
          </w:p>
        </w:tc>
      </w:tr>
    </w:tbl>
    <w:p>
      <w:pPr>
        <w:spacing w:before="400" w:after="0"/>
      </w:pPr>
      <w:r>
        <w:rPr>
          <w:rFonts w:ascii="Aptos" w:hAnsi="Aptos" w:cs="Aptos" w:eastAsia="Aptos"/>
          <w:b w:val="0"/>
          <w:color w:val="575752"/>
          <w:sz w:val="18"/>
        </w:rPr>
        <w:t>Wetstraat 16  ·  1000 Brussel  ·  kanselarij.belgium.be</w:t>
      </w:r>
    </w:p>
    <w:p>
      <w:pPr>
        <w:spacing w:before="720" w:after="0"/>
      </w:pPr>
      <w:r>
        <w:rPr>
          <w:rFonts w:ascii="Aptos" w:hAnsi="Aptos" w:cs="Aptos" w:eastAsia="Aptos"/>
          <w:b w:val="0"/>
          <w:color w:val="242421"/>
          <w:sz w:val="22"/>
        </w:rPr>
        <w:t>Mevrouw Marie Janssens</w:t>
        <w:br/>
        <w:t>Directeur Communicatie</w:t>
        <w:br/>
        <w:t>Boulevard du Régent 47</w:t>
        <w:br/>
        <w:t>1000 Brussel</w:t>
      </w:r>
    </w:p>
    <w:p>
      <w:pPr>
        <w:spacing w:before="560" w:after="0"/>
      </w:pPr>
      <w:r>
        <w:rPr>
          <w:rFonts w:ascii="Aptos" w:hAnsi="Aptos" w:cs="Aptos" w:eastAsia="Aptos"/>
          <w:b w:val="0"/>
          <w:color w:val="575752"/>
          <w:sz w:val="20"/>
        </w:rPr>
        <w:t>Brussel, 6 mei 2026</w:t>
      </w:r>
    </w:p>
    <w:p>
      <w:pPr>
        <w:spacing w:before="400" w:after="240"/>
      </w:pPr>
      <w:r>
        <w:rPr>
          <w:rFonts w:ascii="Inter" w:hAnsi="Inter" w:cs="Inter" w:eastAsia="Inter"/>
          <w:b/>
          <w:color w:val="052B5E"/>
          <w:sz w:val="26"/>
        </w:rPr>
        <w:t>Betreft: lancering van het federaal merksysteem</w:t>
      </w:r>
    </w:p>
    <w:p>
      <w:pPr>
        <w:spacing w:after="200" w:line="324" w:lineRule="auto"/>
      </w:pPr>
      <w:r>
        <w:rPr>
          <w:rFonts w:ascii="Aptos" w:hAnsi="Aptos" w:cs="Aptos" w:eastAsia="Aptos"/>
          <w:b w:val="0"/>
          <w:color w:val="242421"/>
          <w:sz w:val="22"/>
        </w:rPr>
        <w:t>Geachte mevrouw Janssens,</w:t>
      </w:r>
    </w:p>
    <w:p>
      <w:pPr>
        <w:spacing w:after="200" w:line="324" w:lineRule="auto"/>
      </w:pPr>
      <w:r>
        <w:rPr>
          <w:rFonts w:ascii="Aptos" w:hAnsi="Aptos" w:cs="Aptos" w:eastAsia="Aptos"/>
          <w:b w:val="0"/>
          <w:color w:val="242421"/>
          <w:sz w:val="22"/>
        </w:rPr>
        <w:t>Lorem ipsum dolor sit amet, consectetur adipiscing elit. Het federale merksysteem brengt voor het eerst alle visuele uitingen van de federale overheid samen onder één coherente identiteit, in lijn met de uitgangspunten van het bestek en de aanbevelingen van het stuurcomité.</w:t>
      </w:r>
    </w:p>
    <w:p>
      <w:pPr>
        <w:spacing w:after="200" w:line="324" w:lineRule="auto"/>
      </w:pPr>
      <w:r>
        <w:rPr>
          <w:rFonts w:ascii="Aptos" w:hAnsi="Aptos" w:cs="Aptos" w:eastAsia="Aptos"/>
          <w:b w:val="0"/>
          <w:color w:val="242421"/>
          <w:sz w:val="22"/>
        </w:rPr>
        <w:t>Sed do eiusmod tempor incididunt ut labore et dolore magna aliqua. De lancering van dit systeem voorzien wij in het derde kwartaal van 2026, voorafgegaan door een toegankelijkheidsaudit en een pilootimplementatie bij drie federale instellingen.</w:t>
      </w:r>
    </w:p>
    <w:p>
      <w:pPr>
        <w:spacing w:after="200" w:line="324" w:lineRule="auto"/>
      </w:pPr>
      <w:r>
        <w:rPr>
          <w:rFonts w:ascii="Aptos" w:hAnsi="Aptos" w:cs="Aptos" w:eastAsia="Aptos"/>
          <w:b w:val="0"/>
          <w:color w:val="242421"/>
          <w:sz w:val="22"/>
        </w:rPr>
        <w:t>Wij nodigen u graag uit voor een toelichting op donderdag 21 mei in onze kantoren aan de Wetstraat 16. Met vriendelijke groet,</w:t>
      </w:r>
    </w:p>
    <w:p>
      <w:pPr>
        <w:spacing w:before="720" w:after="0"/>
      </w:pPr>
      <w:r>
        <w:rPr>
          <w:rFonts w:ascii="Aptos" w:hAnsi="Aptos" w:cs="Aptos" w:eastAsia="Aptos"/>
          <w:b/>
          <w:color w:val="052B5E"/>
          <w:sz w:val="22"/>
        </w:rPr>
        <w:t>Pieter Devos</w:t>
        <w:br/>
        <w:t>Directeur Communicatie</w:t>
        <w:br/>
        <w:t>FOD Kanselarij</w:t>
      </w:r>
    </w:p>
    <w:p>
      <w:pPr>
        <w:spacing w:before="480" w:after="0"/>
      </w:pPr>
    </w:p>
    <w:tbl>
      <w:tblPr>
        <w:tblW w:type="auto" w:w="0"/>
        <w:tblLayout w:type="fixed"/>
        <w:tblLook w:firstColumn="1" w:firstRow="1" w:lastColumn="0" w:lastRow="0" w:noHBand="0" w:noVBand="1" w:val="04A0"/>
      </w:tblPr>
      <w:tblGrid>
        <w:gridCol w:w="3324"/>
        <w:gridCol w:w="3324"/>
        <w:gridCol w:w="3324"/>
      </w:tblGrid>
      <w:tr>
        <w:trPr>
          <w:trHeight w:val="198"/>
        </w:trPr>
        <w:tc>
          <w:tcPr>
            <w:tcW w:type="dxa" w:w="3175"/>
            <w:shd w:val="clear" w:color="auto" w:fill="FCD117"/>
            <w:tcMar>
              <w:top w:w="0" w:type="dxa"/>
              <w:bottom w:w="0" w:type="dxa"/>
            </w:tcMar>
          </w:tcPr>
          <w:p>
            <w:pPr>
              <w:spacing w:before="0" w:after="0"/>
            </w:pPr>
            <w:r>
              <w:rPr>
                <w:sz w:val="4"/>
              </w:rPr>
            </w:r>
          </w:p>
        </w:tc>
        <w:tc>
          <w:tcPr>
            <w:tcW w:type="dxa" w:w="3175"/>
            <w:shd w:val="clear" w:color="auto" w:fill="C70F2E"/>
            <w:tcMar>
              <w:top w:w="0" w:type="dxa"/>
              <w:bottom w:w="0" w:type="dxa"/>
            </w:tcMar>
          </w:tcPr>
          <w:p>
            <w:pPr>
              <w:spacing w:before="0" w:after="0"/>
            </w:pPr>
            <w:r>
              <w:rPr>
                <w:sz w:val="4"/>
              </w:rPr>
            </w:r>
          </w:p>
        </w:tc>
        <w:tc>
          <w:tcPr>
            <w:tcW w:type="dxa" w:w="3175"/>
            <w:shd w:val="clear" w:color="auto" w:fill="1A1A1A"/>
            <w:tcMar>
              <w:top w:w="0" w:type="dxa"/>
              <w:bottom w:w="0" w:type="dxa"/>
            </w:tcMar>
          </w:tcPr>
          <w:p>
            <w:pPr>
              <w:spacing w:before="0" w:after="0"/>
            </w:pPr>
            <w:r>
              <w:rPr>
                <w:sz w:val="4"/>
              </w:rPr>
            </w:r>
          </w:p>
        </w:tc>
      </w:tr>
    </w:tbl>
    <w:sectPr w:rsidR="00FC693F" w:rsidRPr="0006063C" w:rsidSect="00034616">
      <w:footerReference w:type="default" r:id="rId10"/>
      <w:pgSz w:w="12240" w:h="15840"/>
      <w:pgMar w:top="2551"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ayout w:type="fixed"/>
      <w:tblLook w:firstColumn="1" w:firstRow="1" w:lastColumn="0" w:lastRow="0" w:noHBand="0" w:noVBand="1" w:val="04A0"/>
    </w:tblPr>
    <w:tblGrid>
      <w:gridCol w:w="680"/>
      <w:gridCol w:w="8957"/>
    </w:tblGrid>
    <w:tr>
      <w:tc>
        <w:tcPr>
          <w:tcW w:type="dxa" w:w="680"/>
        </w:tcPr>
        <w:p>
          <w:pPr>
            <w:spacing w:before="0" w:after="0"/>
          </w:pPr>
          <w:r>
            <w:drawing>
              <wp:inline xmlns:a="http://schemas.openxmlformats.org/drawingml/2006/main" xmlns:pic="http://schemas.openxmlformats.org/drawingml/2006/picture">
                <wp:extent cx="360000" cy="360000"/>
                <wp:docPr id="1" name="Picture 1"/>
                <wp:cNvGraphicFramePr>
                  <a:graphicFrameLocks noChangeAspect="1"/>
                </wp:cNvGraphicFramePr>
                <a:graphic>
                  <a:graphicData uri="http://schemas.openxmlformats.org/drawingml/2006/picture">
                    <pic:pic>
                      <pic:nvPicPr>
                        <pic:cNvPr id="0" name="lockup-kanselarij.png"/>
                        <pic:cNvPicPr/>
                      </pic:nvPicPr>
                      <pic:blipFill>
                        <a:blip r:embed="rId1"/>
                        <a:stretch>
                          <a:fillRect/>
                        </a:stretch>
                      </pic:blipFill>
                      <pic:spPr>
                        <a:xfrm>
                          <a:off x="0" y="0"/>
                          <a:ext cx="360000" cy="360000"/>
                        </a:xfrm>
                        <a:prstGeom prst="rect"/>
                      </pic:spPr>
                    </pic:pic>
                  </a:graphicData>
                </a:graphic>
              </wp:inline>
            </w:drawing>
          </w:r>
        </w:p>
      </w:tc>
      <w:tc>
        <w:tcPr>
          <w:tcW w:type="dxa" w:w="8957"/>
          <w:vAlign w:val="center"/>
        </w:tcPr>
        <w:p>
          <w:pPr>
            <w:spacing w:before="0" w:after="0"/>
            <w:jc w:val="left"/>
          </w:pPr>
          <w:r>
            <w:rPr>
              <w:rFonts w:ascii="Aptos" w:hAnsi="Aptos" w:cs="Aptos" w:eastAsia="Aptos"/>
              <w:b w:val="0"/>
              <w:color w:val="575752"/>
              <w:sz w:val="16"/>
            </w:rPr>
            <w:t>FOD Kanselarij van de Eerste Minister  ·  Wetstraat 16  ·  1000 Brussel  ·  kanselarij.belgium.be</w:t>
          </w:r>
        </w:p>
      </w:tc>
    </w:tr>
  </w:tbl>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242421"/>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